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3AB9F">
      <w:pPr>
        <w:rPr>
          <w:rFonts w:hint="eastAsia"/>
        </w:rPr>
      </w:pPr>
    </w:p>
    <w:p w14:paraId="3DEB712D">
      <w:pPr>
        <w:rPr>
          <w:rFonts w:hint="eastAsia"/>
        </w:rPr>
      </w:pPr>
    </w:p>
    <w:p w14:paraId="27B685A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7E2223B">
      <w:pPr>
        <w:spacing w:line="540" w:lineRule="exact"/>
        <w:jc w:val="center"/>
        <w:rPr>
          <w:rFonts w:ascii="华文中宋" w:hAnsi="华文中宋" w:eastAsia="华文中宋" w:cs="宋体"/>
          <w:b/>
          <w:kern w:val="0"/>
          <w:sz w:val="52"/>
          <w:szCs w:val="52"/>
        </w:rPr>
      </w:pPr>
    </w:p>
    <w:p w14:paraId="70AFE33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5"/>
          <w:rFonts w:hint="eastAsia" w:ascii="楷体" w:hAnsi="楷体" w:eastAsia="楷体"/>
          <w:spacing w:val="-4"/>
          <w:sz w:val="32"/>
          <w:szCs w:val="32"/>
        </w:rPr>
        <w:t>2023</w:t>
      </w:r>
      <w:r>
        <w:rPr>
          <w:rFonts w:hint="eastAsia" w:hAnsi="宋体" w:eastAsia="仿宋_GB2312" w:cs="宋体"/>
          <w:kern w:val="0"/>
          <w:sz w:val="36"/>
          <w:szCs w:val="36"/>
        </w:rPr>
        <w:t>年度）</w:t>
      </w:r>
    </w:p>
    <w:p w14:paraId="7F4434B0">
      <w:pPr>
        <w:spacing w:line="540" w:lineRule="exact"/>
        <w:jc w:val="center"/>
        <w:rPr>
          <w:rFonts w:hAnsi="宋体" w:eastAsia="仿宋_GB2312" w:cs="宋体"/>
          <w:kern w:val="0"/>
          <w:sz w:val="30"/>
          <w:szCs w:val="30"/>
        </w:rPr>
      </w:pPr>
    </w:p>
    <w:p w14:paraId="3ADC253D">
      <w:pPr>
        <w:spacing w:line="540" w:lineRule="exact"/>
        <w:jc w:val="center"/>
        <w:rPr>
          <w:rFonts w:hAnsi="宋体" w:eastAsia="仿宋_GB2312" w:cs="宋体"/>
          <w:kern w:val="0"/>
          <w:sz w:val="30"/>
          <w:szCs w:val="30"/>
        </w:rPr>
      </w:pPr>
    </w:p>
    <w:p w14:paraId="42F9991D">
      <w:pPr>
        <w:spacing w:line="540" w:lineRule="exact"/>
        <w:jc w:val="center"/>
        <w:rPr>
          <w:rFonts w:ascii="方正小标宋_GBK" w:hAnsi="宋体" w:eastAsia="方正小标宋_GBK" w:cs="宋体"/>
          <w:kern w:val="0"/>
          <w:sz w:val="36"/>
          <w:szCs w:val="36"/>
        </w:rPr>
      </w:pPr>
    </w:p>
    <w:p w14:paraId="6BE28279">
      <w:pPr>
        <w:spacing w:line="540" w:lineRule="exact"/>
        <w:jc w:val="center"/>
        <w:rPr>
          <w:rFonts w:hAnsi="宋体" w:eastAsia="仿宋_GB2312" w:cs="宋体"/>
          <w:kern w:val="0"/>
          <w:sz w:val="30"/>
          <w:szCs w:val="30"/>
        </w:rPr>
      </w:pPr>
    </w:p>
    <w:p w14:paraId="0158D378">
      <w:pPr>
        <w:spacing w:line="540" w:lineRule="exact"/>
        <w:jc w:val="center"/>
        <w:rPr>
          <w:rFonts w:hAnsi="宋体" w:eastAsia="仿宋_GB2312" w:cs="宋体"/>
          <w:kern w:val="0"/>
          <w:sz w:val="30"/>
          <w:szCs w:val="30"/>
        </w:rPr>
      </w:pPr>
    </w:p>
    <w:p w14:paraId="7B21ACB4">
      <w:pPr>
        <w:spacing w:line="540" w:lineRule="exact"/>
        <w:jc w:val="center"/>
        <w:rPr>
          <w:rFonts w:hAnsi="宋体" w:eastAsia="仿宋_GB2312" w:cs="宋体"/>
          <w:kern w:val="0"/>
          <w:sz w:val="30"/>
          <w:szCs w:val="30"/>
        </w:rPr>
      </w:pPr>
    </w:p>
    <w:p w14:paraId="005C95B8">
      <w:pPr>
        <w:spacing w:line="540" w:lineRule="exact"/>
        <w:rPr>
          <w:rFonts w:hAnsi="宋体" w:eastAsia="仿宋_GB2312" w:cs="宋体"/>
          <w:kern w:val="0"/>
          <w:sz w:val="30"/>
          <w:szCs w:val="30"/>
        </w:rPr>
      </w:pPr>
    </w:p>
    <w:p w14:paraId="4759FEFE">
      <w:pPr>
        <w:spacing w:line="700" w:lineRule="exact"/>
        <w:jc w:val="left"/>
        <w:rPr>
          <w:rFonts w:hAnsi="宋体" w:eastAsia="仿宋_GB2312" w:cs="宋体"/>
          <w:kern w:val="0"/>
          <w:sz w:val="36"/>
          <w:szCs w:val="36"/>
        </w:rPr>
      </w:pPr>
    </w:p>
    <w:p w14:paraId="5962D32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5"/>
          <w:rFonts w:hint="eastAsia" w:ascii="楷体" w:hAnsi="楷体" w:eastAsia="楷体"/>
          <w:spacing w:val="-4"/>
          <w:sz w:val="32"/>
          <w:szCs w:val="32"/>
        </w:rPr>
        <w:t>2023年学前三年免费教育市级配套资金</w:t>
      </w:r>
    </w:p>
    <w:p w14:paraId="3854C7B2">
      <w:pPr>
        <w:spacing w:line="540" w:lineRule="exact"/>
        <w:ind w:firstLine="567"/>
        <w:rPr>
          <w:rStyle w:val="5"/>
          <w:rFonts w:hint="eastAsia" w:ascii="楷体" w:hAnsi="楷体" w:eastAsia="楷体"/>
          <w:spacing w:val="-4"/>
          <w:sz w:val="32"/>
          <w:szCs w:val="32"/>
        </w:rPr>
      </w:pPr>
      <w:r>
        <w:rPr>
          <w:rFonts w:hint="eastAsia" w:hAnsi="宋体" w:eastAsia="仿宋_GB2312" w:cs="宋体"/>
          <w:kern w:val="0"/>
          <w:sz w:val="36"/>
          <w:szCs w:val="36"/>
        </w:rPr>
        <w:t>实施单位（公章）：</w:t>
      </w:r>
      <w:r>
        <w:rPr>
          <w:rStyle w:val="5"/>
          <w:rFonts w:hint="eastAsia" w:ascii="楷体" w:hAnsi="楷体" w:eastAsia="楷体"/>
          <w:spacing w:val="-4"/>
          <w:sz w:val="32"/>
          <w:szCs w:val="32"/>
        </w:rPr>
        <w:t>沙湾市实验幼儿园</w:t>
      </w:r>
    </w:p>
    <w:p w14:paraId="22EA37AA">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主管部门（公章）：</w:t>
      </w:r>
      <w:r>
        <w:rPr>
          <w:rStyle w:val="5"/>
          <w:rFonts w:hint="eastAsia" w:ascii="楷体" w:hAnsi="楷体" w:eastAsia="楷体"/>
          <w:spacing w:val="-4"/>
          <w:sz w:val="32"/>
          <w:szCs w:val="32"/>
        </w:rPr>
        <w:t>沙湾市实验幼儿园</w:t>
      </w:r>
    </w:p>
    <w:p w14:paraId="324023FC">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项目负责人（签章）：</w:t>
      </w:r>
      <w:r>
        <w:rPr>
          <w:rStyle w:val="5"/>
          <w:rFonts w:hint="eastAsia" w:ascii="楷体" w:hAnsi="楷体" w:eastAsia="楷体"/>
          <w:spacing w:val="-4"/>
          <w:sz w:val="32"/>
          <w:szCs w:val="32"/>
        </w:rPr>
        <w:t>张丽</w:t>
      </w:r>
    </w:p>
    <w:p w14:paraId="583FABF6">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填报时间：</w:t>
      </w:r>
      <w:r>
        <w:rPr>
          <w:rStyle w:val="5"/>
          <w:rFonts w:hint="eastAsia" w:ascii="楷体" w:hAnsi="楷体" w:eastAsia="楷体"/>
          <w:spacing w:val="-4"/>
          <w:sz w:val="32"/>
          <w:szCs w:val="32"/>
        </w:rPr>
        <w:t>2024年05月08日</w:t>
      </w:r>
    </w:p>
    <w:p w14:paraId="55B9CB04">
      <w:pPr>
        <w:spacing w:line="540" w:lineRule="exact"/>
        <w:ind w:firstLine="783" w:firstLineChars="250"/>
        <w:rPr>
          <w:rStyle w:val="5"/>
          <w:rFonts w:hint="eastAsia" w:ascii="楷体" w:hAnsi="楷体" w:eastAsia="楷体"/>
          <w:spacing w:val="-4"/>
          <w:sz w:val="32"/>
          <w:szCs w:val="32"/>
        </w:rPr>
      </w:pPr>
    </w:p>
    <w:p w14:paraId="60D35A0B">
      <w:pPr>
        <w:rPr>
          <w:rFonts w:hint="eastAsia"/>
        </w:rPr>
      </w:pPr>
    </w:p>
    <w:p w14:paraId="1ACF7ED8">
      <w:pPr>
        <w:rPr>
          <w:rFonts w:hint="eastAsia"/>
        </w:rPr>
      </w:pPr>
    </w:p>
    <w:p w14:paraId="0BFD1EDD">
      <w:pPr>
        <w:rPr>
          <w:rFonts w:hint="eastAsia"/>
        </w:rPr>
      </w:pPr>
    </w:p>
    <w:p w14:paraId="34C173FA">
      <w:pPr>
        <w:rPr>
          <w:rFonts w:hint="eastAsia"/>
        </w:rPr>
      </w:pPr>
    </w:p>
    <w:p w14:paraId="2E3585FB">
      <w:pPr>
        <w:rPr>
          <w:rFonts w:hint="eastAsia"/>
        </w:rPr>
      </w:pPr>
    </w:p>
    <w:p w14:paraId="6E1A2CB0">
      <w:pPr>
        <w:rPr>
          <w:rFonts w:hint="eastAsia"/>
        </w:rPr>
      </w:pPr>
    </w:p>
    <w:p w14:paraId="0D6A056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CD7C82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298B4A0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29530AD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一、项目概况</w:t>
      </w:r>
    </w:p>
    <w:p w14:paraId="41CA0C22">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（一）项目单位基本情况</w:t>
      </w:r>
    </w:p>
    <w:p w14:paraId="5B566657">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1.项目背景</w:t>
      </w:r>
    </w:p>
    <w:p w14:paraId="6ED19FE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项目，绩效目标情况用于幼儿园幼儿经费保障，幼儿园办公费、维修费、设备采购费、伙食费等经费开支，保障不让一个孩子因为家庭困难而失学，努力构建广覆盖、保基础、有质量的学前教育公共服务体系，促进学前教育发展水平整体提升。</w:t>
      </w:r>
    </w:p>
    <w:p w14:paraId="07CFC67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2.项目主要内容及实施情况</w:t>
      </w:r>
    </w:p>
    <w:p w14:paraId="3261E64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主要内容为：沙湾市实验幼儿园保教费、伙食费项目。沙湾市实验幼儿园保教费、伙食费。根据《2023年学前三年教育、义务教育、普通高中、中职教育保障经费配套资金的通知》（沙财教[2023]07号）文件，沙湾市实验幼儿园保教费、伙食费项目预算安排资金总额131.36万元。</w:t>
      </w:r>
    </w:p>
    <w:p w14:paraId="20EE457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本项目于2023年1月开始实施，截止2023年12月，该项目已实施完成各项任务指标全部完成，通过本项目的实施，有效解决了老沙湾</w:t>
      </w:r>
      <w:bookmarkStart w:id="0" w:name="_GoBack"/>
      <w:bookmarkEnd w:id="0"/>
      <w:r>
        <w:rPr>
          <w:rFonts w:hint="eastAsia" w:ascii="仿宋_GB2312" w:eastAsia="仿宋_GB2312" w:cs="Times New Roman"/>
          <w:color w:val="auto"/>
          <w:sz w:val="32"/>
          <w:szCs w:val="32"/>
          <w:highlight w:val="none"/>
          <w:lang w:val="en-US" w:eastAsia="zh-CN"/>
        </w:rPr>
        <w:t>路幼儿园的办公费、维修费、伙食费、设备采购费用，提升了幼儿园的保教质量及伙食质量，增强了教职工的积极性。</w:t>
      </w:r>
    </w:p>
    <w:p w14:paraId="379FB8F2">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3.项目实施主体</w:t>
      </w:r>
    </w:p>
    <w:p w14:paraId="6A29FD8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2023年沙湾市实验幼儿园保教费、伙食费项目的实施主体为沙湾市实验幼儿园。</w:t>
      </w:r>
    </w:p>
    <w:p w14:paraId="09F9E76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4. 资金投入和使用情况</w:t>
      </w:r>
    </w:p>
    <w:p w14:paraId="262070C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（1）项目资金安排落实、总投入情况</w:t>
      </w:r>
    </w:p>
    <w:p w14:paraId="7F5EA51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沙湾市财政局《2023年学前三年教育、义务教育、普通高中、中职教育保障经费配套资金的通知》（沙财教[2023]07号）文件，沙湾市实验幼儿园保教费、伙食费项目预算安排资金总额160.50万元，其中财政资金160.50万元、其他资金0万元；2023年实际收到预算资金160.50万元，预算资金到位率为100%。</w:t>
      </w:r>
    </w:p>
    <w:p w14:paraId="438FAF1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（2）项目资金实际使用情况</w:t>
      </w:r>
    </w:p>
    <w:p w14:paraId="52395A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截至2023年12月31日，本项目实际支付资金160.50万元，预算执行率100%。项目资金主要用于支付办公用品费用21.86万元、设施设备维修费用12.26万元、房屋构建费用86.03万元、幼儿伙食费用33.65万元、水电费6.7万元。</w:t>
      </w:r>
    </w:p>
    <w:p w14:paraId="769898A0">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（二）项目预算绩效目标设定情况</w:t>
      </w:r>
    </w:p>
    <w:p w14:paraId="46A7CA6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1.总体目标</w:t>
      </w:r>
    </w:p>
    <w:p w14:paraId="745C84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以准确、清晰地反映财政资金在使用期所能达到的预期产出和效果。</w:t>
      </w:r>
    </w:p>
    <w:p w14:paraId="19E439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项目，是为了全年项目计划实现目标如下：“目标1：“学前保障人数492人，保障不让一名幼儿辍学。目标2:项目资金使用规范率100%；目标3:资金支付及时率100%；目标4:项目完成时间为2023年12月25日前。”计划通过本项目的实施，保障幼儿园正常运转，改善幼儿园教学环境，保障幼儿园伙食的提高。</w:t>
      </w:r>
    </w:p>
    <w:p w14:paraId="7CFC5173">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2.阶段性目标</w:t>
      </w:r>
    </w:p>
    <w:p w14:paraId="30571D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14:paraId="6A9652F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（1）项目产出指标</w:t>
      </w:r>
    </w:p>
    <w:p w14:paraId="63F6C88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①数量指标</w:t>
      </w:r>
    </w:p>
    <w:p w14:paraId="78CA27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“享受学前三年免费保障经费幼儿人数（人）”指标，预期指标值为“大于等于492人”；</w:t>
      </w:r>
    </w:p>
    <w:p w14:paraId="3C8EE4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②质量指标</w:t>
      </w:r>
    </w:p>
    <w:p w14:paraId="2196ECE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“农村学前国语教育覆盖率（%）”指标，预期指标值为“等于100%”；</w:t>
      </w:r>
    </w:p>
    <w:p w14:paraId="4B83EED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“资金使用规范率”指标，预期指标值为“等于100%”。</w:t>
      </w:r>
    </w:p>
    <w:p w14:paraId="43D2700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③时效指标</w:t>
      </w:r>
    </w:p>
    <w:p w14:paraId="09525B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“项目完成时间（年月日）”指标，预期指标值为“2023年12月25日”；</w:t>
      </w:r>
    </w:p>
    <w:p w14:paraId="59F74DC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（2）项目成本指标</w:t>
      </w:r>
    </w:p>
    <w:p w14:paraId="409148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①经济成本指标</w:t>
      </w:r>
    </w:p>
    <w:p w14:paraId="5E61745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“学前保教费补助标准（元/生/年）”指标，预期指标值为“等于2800元/生/年”；</w:t>
      </w:r>
    </w:p>
    <w:p w14:paraId="44FCBB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（3）项目效益指标</w:t>
      </w:r>
    </w:p>
    <w:p w14:paraId="680664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①经济效益指标</w:t>
      </w:r>
    </w:p>
    <w:p w14:paraId="3F2B7A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14:paraId="302FAB3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②社会效益指标</w:t>
      </w:r>
    </w:p>
    <w:p w14:paraId="405F13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“提高幼儿园办园条件”指标，预期指标值为“有效提高”。</w:t>
      </w:r>
    </w:p>
    <w:p w14:paraId="368B21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③生态效益指标</w:t>
      </w:r>
    </w:p>
    <w:p w14:paraId="5BD87CA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14:paraId="4DDC95D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（4）相关满意度目标</w:t>
      </w:r>
    </w:p>
    <w:p w14:paraId="1BF137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“幼儿家长满意度（%）”指标，预期指标值为“大于等于95%”。</w:t>
      </w:r>
    </w:p>
    <w:p w14:paraId="7EECAF71">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二、项目资金使用及管理情况</w:t>
      </w:r>
    </w:p>
    <w:p w14:paraId="707234E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（一）项目资金安排落实、总投入等情况分析</w:t>
      </w:r>
    </w:p>
    <w:p w14:paraId="4F11E4D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1.绩效评价的目的</w:t>
      </w:r>
    </w:p>
    <w:p w14:paraId="509432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0FBE89C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2.绩效评价的对象和范围</w:t>
      </w:r>
    </w:p>
    <w:p w14:paraId="5CDFEB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绩效评价遵循财政部《关于印发&lt;项目支出绩效评价管理办法&gt;的通知》（财预〔2020〕10号）以及自治区财政厅《自治区财政支出绩效评价管理暂行办法》（新财预〔2018〕189号）等文件规定，对2023年度我单位实施的沙湾市实验幼儿园保教费、伙食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66992FF">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（二）项目资金实际使用情况分析</w:t>
      </w:r>
    </w:p>
    <w:p w14:paraId="57D9674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1.绩效评价原则</w:t>
      </w:r>
    </w:p>
    <w:p w14:paraId="7916ABC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实验幼儿园保教费、伙食费项目实际开展情况，运用定量和定性分析相结合的方法，总结经验做法，反思项目实施和管理中的问题，以切实提升财政资金管理的科学化、规范化和精细化水平。</w:t>
      </w:r>
    </w:p>
    <w:p w14:paraId="61F1513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根据以上原则，绩效评价遵循如下具体要求：</w:t>
      </w:r>
    </w:p>
    <w:p w14:paraId="43E8A42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（1）在数据采集时，采取客观数据主管部门审查、社会中介组织复查与问卷调查相结合的形式，以保证各项指标的真实性。</w:t>
      </w:r>
    </w:p>
    <w:p w14:paraId="0C17B9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（2）保证评价结果的真实性、公正性，提高评价报告的公信力。</w:t>
      </w:r>
    </w:p>
    <w:p w14:paraId="5E47961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（3）绩效评价报告简明扼要，除对绩效评价的过程、结果描述外，还总结经验、指出问题，并就共性问题提出可操作性改进建议。</w:t>
      </w:r>
    </w:p>
    <w:p w14:paraId="6B7B9FC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2.绩效评价指标体系及绩效评价标准</w:t>
      </w:r>
    </w:p>
    <w:p w14:paraId="7F5913B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14:paraId="7F0DE8C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一级指标为：决策、过程、产出、成本、效益。</w:t>
      </w:r>
    </w:p>
    <w:p w14:paraId="0B3BC0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二级指标为：项目立项、绩效目标、资金投入、资金管理、组织实施、产出数量、产出质量、产出时效、经济成本、项目效益。</w:t>
      </w:r>
    </w:p>
    <w:p w14:paraId="0D2BC5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322BCC4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3.评价方法</w:t>
      </w:r>
    </w:p>
    <w:p w14:paraId="739A90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本次评价采取定量与定性评价相结合的方式，采用比较法、公众评判法对项目实施过程以及预期绩效目标完成情况进行全面、系统的评价，总分由各项指标得分汇总形成。</w:t>
      </w:r>
    </w:p>
    <w:p w14:paraId="5333C2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5953C12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3F03D9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4.评价标准</w:t>
      </w:r>
    </w:p>
    <w:p w14:paraId="45350E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A3A2E4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（三）项目资金管理情况分析</w:t>
      </w:r>
    </w:p>
    <w:p w14:paraId="6566595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第一阶段：前期准备。</w:t>
      </w:r>
    </w:p>
    <w:p w14:paraId="6B9ED97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我单位绩效评价人员根据《项目支出绩效评价管理办法》（财预〔2020〕10号）文件精神认真学习相关要求与规定，成立绩效评价工作组，作为绩效评价工作具体实施机构。成员构成如下：</w:t>
      </w:r>
    </w:p>
    <w:p w14:paraId="06ED27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张丽（书记兼园长）任评价组组长，绩效评价工作职责为检查项目绩效指标完成情况、审定项目支出绩效评价结果及项目支出绩效评价报告。</w:t>
      </w:r>
    </w:p>
    <w:p w14:paraId="542344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杨海婷（财务负责人）任评价组副组长，绩效评价工作职责为组织和协调项目工作人员采取实地调查、资料检查等方式，核实项目绩效指标完成情况；组织受益对象对项目工作进行评价等。</w:t>
      </w:r>
    </w:p>
    <w:p w14:paraId="776BB6A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哈孜合力木（报账员）任评价组成员，绩效评价工作职责为做好项目支出绩效评价工作的沟通协调工作，对项目实施情况进行实地调查，编写项目支出绩效评价报告。</w:t>
      </w:r>
    </w:p>
    <w:p w14:paraId="324BFEF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第二阶段：组织实施。</w:t>
      </w:r>
    </w:p>
    <w:p w14:paraId="1A341D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经评价组通过实地调研、查阅资料等方式，采用综合分析法对项目的决策、管理、绩效进行的综合评价分析。</w:t>
      </w:r>
    </w:p>
    <w:p w14:paraId="596F38C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第三阶段：分析评价。</w:t>
      </w:r>
    </w:p>
    <w:p w14:paraId="5B30DB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首先按照指标体系进行定量、定性分析。其次开展量化打分、综合评价工作，形成初步评价结论。最后归纳整体项目情况与存在问题，撰写部门绩效评价报告。</w:t>
      </w:r>
    </w:p>
    <w:p w14:paraId="43D3404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第四阶段：撰写与提交评价报告</w:t>
      </w:r>
    </w:p>
    <w:p w14:paraId="48001AD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项目撰写绩效评价报告，按照财政局大平台绩效系统中统一格式和文本框架撰写绩效评价报告。</w:t>
      </w:r>
    </w:p>
    <w:p w14:paraId="05273A7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第五阶段：归集档案</w:t>
      </w:r>
    </w:p>
    <w:p w14:paraId="39E9B7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建立和落实档案管理制度，将项目相关资料存档，包括但不限于：评价项目基本情况和相关文件、评价实施方案、项目支付资料等相关档案。</w:t>
      </w:r>
    </w:p>
    <w:p w14:paraId="67E9D9F9">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三、项目组织实施情况</w:t>
      </w:r>
    </w:p>
    <w:p w14:paraId="272D181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楷体" w:hAnsi="楷体" w:eastAsia="楷体" w:cs="楷体"/>
          <w:b/>
          <w:bCs w:val="0"/>
          <w:color w:val="auto"/>
          <w:kern w:val="0"/>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（一）项目组织情况分析</w:t>
      </w:r>
    </w:p>
    <w:p w14:paraId="39576AE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（一）综合评价情况</w:t>
      </w:r>
    </w:p>
    <w:p w14:paraId="07AE03B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通过沙湾市实验幼儿园保教费、伙食费项目的实施，解决了幼儿园的实际问题，办公用品的采购、幼儿园设备的维修、设备采购、幼儿伙食费的问题，实现了幼儿园正常运转，改善了幼儿园教学环境，提高了幼儿伙食质量，让孩子们每天都能安全、健康、愉快活动的效益。</w:t>
      </w:r>
    </w:p>
    <w:p w14:paraId="493EB5F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该项目预算执行率达100%，项目预期绩效目标及各项具体指标均已全部达成。</w:t>
      </w:r>
    </w:p>
    <w:p w14:paraId="08D29EE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（二）综合评价结论</w:t>
      </w:r>
    </w:p>
    <w:p w14:paraId="751E56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对沙湾市实验幼儿园保教费、伙食费项目的绩效目标和各项具体绩效指标实现情况进行了客观评价，最终评分为100分。绩效评级为“优”，具体得分情况为：项目决策15分、项目过程15分、项目产出40分、项目效益30分。</w:t>
      </w:r>
    </w:p>
    <w:p w14:paraId="301CCC1D">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（二）项目管理情况分析</w:t>
      </w:r>
    </w:p>
    <w:p w14:paraId="26FD23C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项目决策类指标从项目立项、绩效目标和资金投入三个方面评价项目前期准备工作，权重分值为 15 分，本项目实际得分15分，得分率为100%。具体各项指标得分如下：</w:t>
      </w:r>
    </w:p>
    <w:p w14:paraId="7AFF29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立项依据充分性：本项目是由沙湾市实验幼儿园单位提出申报，于2023年01月批复设立，2023年我单位根据《2023年学前三年教育、义务教育、普通高中、中职教育保障经费配套资金的通知》（沙财教[2023]07号）文件要求组织实施该项目。项目立项符合国家法律法规、自治区和地区行业发展规划和政策要求，属于本部门履职所需。根据评分标准，该指标2.5分，得2.5分。</w:t>
      </w:r>
    </w:p>
    <w:p w14:paraId="0D9D0AF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2.立项程序规范性：根据决策依据编制工作计划和经费预算，经过与部门市政府分管领导进行沟通、筛选确定经费预算计划，上党委会研究确定最终预算方案。根据评分标准，该指标2.5分，得2.5分。</w:t>
      </w:r>
    </w:p>
    <w:p w14:paraId="6734E0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3.绩效目标合理性：本项目制定了项目支出绩效目标，明确了项目总体思路及总目标、并对项目任务进行了详细分解，对目标进行了细化。根据评分标准，该指标3分，得3分。</w:t>
      </w:r>
    </w:p>
    <w:p w14:paraId="04EE9A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4.绩效指标明确性：本项目已将项目绩效目标细化分解为具体的绩效指标，并通过清晰、可衡量的指标值予以体现，与项目目标任务数或计划数相对应。根据评分标准，该指标2分，得2分。</w:t>
      </w:r>
    </w:p>
    <w:p w14:paraId="7D9E3A2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5.预算编制科学性：预算编制经过科学论证，内容与项目内容匹配，项目投资额与工作任务相匹配，根据评分标准，该指标3分，得3分。</w:t>
      </w:r>
    </w:p>
    <w:p w14:paraId="74621E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6.资金分配合理性：本项目资金分配依据充分，资金分配额度合理，与项目地方实际相适应。根据评分标准，该指标2分，得2分。</w:t>
      </w:r>
    </w:p>
    <w:p w14:paraId="6EFBEBF0">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四、项目绩效情况</w:t>
      </w:r>
    </w:p>
    <w:p w14:paraId="7983038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val="0"/>
          <w:color w:val="auto"/>
          <w:kern w:val="0"/>
          <w:sz w:val="32"/>
          <w:szCs w:val="32"/>
          <w:highlight w:val="none"/>
          <w:lang w:val="en-US" w:eastAsia="zh-CN"/>
        </w:rPr>
        <w:t>（一）项目绩效目标完成情况分析</w:t>
      </w:r>
    </w:p>
    <w:p w14:paraId="48B31C0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项目过程类指标包括资金管理和组织实施两方面的内容，由 5个三级指标构成，权重分值为 15 分，本项目实际得分15分，得分率为100%。具体各项指标得分如下：</w:t>
      </w:r>
    </w:p>
    <w:p w14:paraId="7DBEC21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1.资金到位率：该项目所需财政资金能够足额拨付到位，牵头单位能够及时足额按照合同约定将专项资金拨付给单位，根据评分标准，该指标2分，得2分。   </w:t>
      </w:r>
    </w:p>
    <w:p w14:paraId="58EFBF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2.预算执行率：本项目预算编制较为详细，预算资金160.50万元，实际执行160.50万元，预算执行率为100%，项目资金支出总体能够按照预算执行，根据评分标准，该指标2分，得2分。</w:t>
      </w:r>
    </w:p>
    <w:p w14:paraId="33AA4F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资金使用合规性：项目任务下达后，我单位制定了《财务监管制度》制度和管理规定对经费使用进行规范管理，财务制度健全、执行严格；同时，资金的拨付有完整的审批程序和手续，符合项目预算批复或合同规定的用途，不存在截留、挤占、挪用、虚列支出等情况。根据评分标准，该指标3分，得3分。</w:t>
      </w:r>
    </w:p>
    <w:p w14:paraId="418983C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4.管理制度健全性：我单位制定了《财务监管制度》等相关项目管理办法，同时对财政专项资金进行严格管理，基本做到了专款专用，根据评分标准，该指标4分，得4分。</w:t>
      </w:r>
    </w:p>
    <w:p w14:paraId="0D45E00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制度执行有效性：根据现场调研和资料抽查情况，严格遵守相关法律法规和相关管理规定，项目调整及支出调整手续完备，整体管理合理有序，项目完成后，及时将会计凭证、固定资产入库单等相关资料分类归档，制度执行有效该指标4分，得4分。</w:t>
      </w:r>
    </w:p>
    <w:p w14:paraId="4C1CCB0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（二）项目绩效目标未完成原因分析</w:t>
      </w:r>
    </w:p>
    <w:p w14:paraId="6F09FF6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项目产出类指标包括产出数量、产出质量、产出时效、产出成本共四方面的内容，由7个三级指标构成，权重分为40分，本项目实际得分40分，得分率为100%。具体各项指标得分如下：</w:t>
      </w:r>
    </w:p>
    <w:p w14:paraId="28EE89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1.产出数量</w:t>
      </w:r>
    </w:p>
    <w:p w14:paraId="7D874B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“享受学前三年免费保障经费幼儿人数（人）”指标，预期指标值为“大于等于492人”，根据幼儿园花名册可知，实际完成492人，与预期目标一致，根据评分标准，该指标10分，得10分。</w:t>
      </w:r>
    </w:p>
    <w:p w14:paraId="36E2926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2.产出质量</w:t>
      </w:r>
    </w:p>
    <w:p w14:paraId="0921C0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“农村学前国语教育覆盖率（%）”指标，预期指标值为“等于100%”，根据幼儿园监管制度，资金使用规范率达100%，与预期目标一致，根据评分标准，该指标5分，得5分。</w:t>
      </w:r>
    </w:p>
    <w:p w14:paraId="5E4C43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“资金使用规范率”指标，预期指标值为“等于100%”，根据幼儿园监管制度，资金使用规范率达100%，与预期目标一致，根据评分标准，该指标5分，得5分。</w:t>
      </w:r>
    </w:p>
    <w:p w14:paraId="4A6D734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3.产出时效</w:t>
      </w:r>
    </w:p>
    <w:p w14:paraId="45B50C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 “项目完成时间”指标，预期指标值为“2023年12月25日前”；根据资金支付凭证显示，该项目于2023年12月25日全部支付完毕，与预期目标指标一致，根据评分标准，该指标10分，得10分。</w:t>
      </w:r>
    </w:p>
    <w:p w14:paraId="5F07142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4.产出成本</w:t>
      </w:r>
    </w:p>
    <w:p w14:paraId="0F6AFB0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济成本“学前保教费补助标准（元/生/年）”指标，预期指标值为“等于2800元/生/年”，根据资金下单文件及幼儿花名册显示，本项目2023年共计享受资助幼儿人数为492人，经费支出能够控制在年度计划成本范围内，根据评分标准，该指标10分，得10分。</w:t>
      </w:r>
    </w:p>
    <w:p w14:paraId="20456C4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五、其他需要说明的问题</w:t>
      </w:r>
    </w:p>
    <w:p w14:paraId="299038F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（一）后续工作计划</w:t>
      </w:r>
    </w:p>
    <w:p w14:paraId="5D3614C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项目效益类指标由社会效益1个二级指标和2个三级指标构成，权重分为20分，本项目实际得分20分，得分率为100%。具体各项指标得分如下：</w:t>
      </w:r>
    </w:p>
    <w:p w14:paraId="3463D7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1.社会效益指标</w:t>
      </w:r>
    </w:p>
    <w:p w14:paraId="4A5DDF0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“提高幼儿园办园条件”指标，预期指标值为“有效提高”，根据本单位监管制度，实际完成值为“基本达成目标”根据评分标准，该指标20分，得20分。</w:t>
      </w:r>
    </w:p>
    <w:p w14:paraId="6333A7A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2.经济效益指标</w:t>
      </w:r>
    </w:p>
    <w:p w14:paraId="103F70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14:paraId="3A5B7FE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3.生态效益指标</w:t>
      </w:r>
    </w:p>
    <w:p w14:paraId="18862E9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14:paraId="01B19D9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（二）主要经验及做法、存在问题和建议</w:t>
      </w:r>
    </w:p>
    <w:p w14:paraId="37735FD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 “幼儿家长的满意度”指标，预期指标值为“大于等于95%”，根据对幼儿家长进行满意度问卷调查的结果可知，家长满意度达95%，根据评分标准，该指标10分,得10分。</w:t>
      </w:r>
    </w:p>
    <w:p w14:paraId="384BED9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（三）其他</w:t>
      </w:r>
    </w:p>
    <w:p w14:paraId="3F37DA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（一）预算执行进度</w:t>
      </w:r>
    </w:p>
    <w:p w14:paraId="7ADAB2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沙湾市实验幼儿园保教费、伙食费项目预算金额160.50万元，实际到位160.50万元，全年项目实际支出160.50万元，预算执行率为100%。</w:t>
      </w:r>
    </w:p>
    <w:p w14:paraId="25DBE8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（二）绩效指标偏差情况</w:t>
      </w:r>
    </w:p>
    <w:p w14:paraId="0681341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2023年本单位负责实施的沙湾市实验幼儿园保教费、伙食费项目的绩效目标及指标已经全部达成，不存在偏差情况。</w:t>
      </w:r>
    </w:p>
    <w:p w14:paraId="5DBFB3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4A46D5F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六、项目评价工作情况</w:t>
      </w:r>
    </w:p>
    <w:p w14:paraId="5E852A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包括评价基础数据收集、资料来源和依据等佐证材料情况，项目现场勘验检查核实等情况</w:t>
      </w:r>
    </w:p>
    <w:p w14:paraId="1B44A196">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（一）主要经验及做法</w:t>
      </w:r>
    </w:p>
    <w:p w14:paraId="5C26458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依据国家财经法规和财务管理制度以及有关专项资金管理办法的规定，资金的拨付有完整的审批程序和手续，符合项目预算批复或合同规定的用途，不存在截留、挤占、挪用、虚列支出等情况制定相应的财务和业务管理制度。财务和业务管理制度合法、合规、完整。</w:t>
      </w:r>
    </w:p>
    <w:p w14:paraId="490E324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2.本单位成立专门的项目负责领导小组，对该项目的事前、事中、事后进行监督与跟踪，确保该项目按时保质完成，并对该项目资金进行严格检查，使项目资金完全用于本次项目。</w:t>
      </w:r>
    </w:p>
    <w:p w14:paraId="003078E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（二）存在问题及原因分析</w:t>
      </w:r>
    </w:p>
    <w:p w14:paraId="321CE83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1.本单位的项目领导小组，对该项目的事前、事中、事后进行监督与跟踪，但在项目实施过程中仍存在不全面的地方，对项目的部分细节有所疏忽。</w:t>
      </w:r>
    </w:p>
    <w:p w14:paraId="1EE6BE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2.对项目档案管理有待进一步规范。项目档案管理专业性较弱，</w:t>
      </w:r>
    </w:p>
    <w:p w14:paraId="647C4BD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3.本单位的项目领导小组，能够对该项目的事前、事中、事后进行监督与跟踪，但在项目实施过程中仍存在不全面的地方，对项目的部分细节有所疏忽。针对这种情况，进一步增强责任心。</w:t>
      </w:r>
    </w:p>
    <w:p w14:paraId="4F1A84C4">
      <w:pPr>
        <w:rPr>
          <w:rFonts w:hint="eastAsia" w:ascii="仿宋_GB2312" w:eastAsia="仿宋_GB2312" w:cs="Times New Roman"/>
          <w:color w:val="auto"/>
          <w:sz w:val="32"/>
          <w:szCs w:val="32"/>
          <w:highlight w:val="none"/>
          <w:lang w:val="en-US" w:eastAsia="zh-CN"/>
        </w:rPr>
      </w:pPr>
    </w:p>
    <w:p w14:paraId="3444DFF1">
      <w:pPr>
        <w:rPr>
          <w:rFonts w:hint="eastAsia" w:ascii="仿宋_GB2312" w:eastAsia="仿宋_GB2312" w:cs="Times New Roman"/>
          <w:color w:val="auto"/>
          <w:sz w:val="32"/>
          <w:szCs w:val="32"/>
          <w:highlight w:val="none"/>
          <w:lang w:val="en-US" w:eastAsia="zh-CN"/>
        </w:rPr>
      </w:pPr>
    </w:p>
    <w:p w14:paraId="12B4C8F9">
      <w:pPr>
        <w:rPr>
          <w:rFonts w:hint="eastAsia" w:ascii="仿宋_GB2312" w:eastAsia="仿宋_GB2312" w:cs="Times New Roman"/>
          <w:color w:val="auto"/>
          <w:sz w:val="32"/>
          <w:szCs w:val="32"/>
          <w:highlight w:val="none"/>
          <w:lang w:val="en-US" w:eastAsia="zh-CN"/>
        </w:rPr>
      </w:pPr>
    </w:p>
    <w:p w14:paraId="7ED4C668">
      <w:pPr>
        <w:rPr>
          <w:rFonts w:hint="eastAsia" w:ascii="仿宋_GB2312" w:eastAsia="仿宋_GB2312" w:cs="Times New Roman"/>
          <w:color w:val="auto"/>
          <w:sz w:val="32"/>
          <w:szCs w:val="32"/>
          <w:highlight w:val="none"/>
          <w:lang w:val="en-US" w:eastAsia="zh-CN"/>
        </w:rPr>
      </w:pPr>
    </w:p>
    <w:p w14:paraId="2E2F41CF">
      <w:pPr>
        <w:rPr>
          <w:rFonts w:hint="eastAsia" w:ascii="仿宋_GB2312" w:eastAsia="仿宋_GB2312" w:cs="Times New Roman"/>
          <w:color w:val="auto"/>
          <w:sz w:val="32"/>
          <w:szCs w:val="32"/>
          <w:highlight w:val="none"/>
          <w:lang w:val="en-US" w:eastAsia="zh-CN"/>
        </w:rPr>
      </w:pPr>
    </w:p>
    <w:p w14:paraId="09F70D67">
      <w:pPr>
        <w:rPr>
          <w:rFonts w:hint="eastAsia" w:ascii="仿宋_GB2312" w:eastAsia="仿宋_GB2312" w:cs="Times New Roman"/>
          <w:color w:val="auto"/>
          <w:sz w:val="32"/>
          <w:szCs w:val="32"/>
          <w:highlight w:val="none"/>
          <w:lang w:val="en-US" w:eastAsia="zh-CN"/>
        </w:rPr>
      </w:pPr>
    </w:p>
    <w:p w14:paraId="132FCE8C">
      <w:pPr>
        <w:rPr>
          <w:rFonts w:hint="eastAsia" w:ascii="仿宋_GB2312" w:eastAsia="仿宋_GB2312" w:cs="Times New Roman"/>
          <w:color w:val="auto"/>
          <w:sz w:val="32"/>
          <w:szCs w:val="32"/>
          <w:highlight w:val="none"/>
          <w:lang w:val="en-US" w:eastAsia="zh-CN"/>
        </w:rPr>
      </w:pPr>
    </w:p>
    <w:p w14:paraId="6F72E363">
      <w:pPr>
        <w:rPr>
          <w:rFonts w:hint="eastAsia" w:ascii="仿宋_GB2312" w:eastAsia="仿宋_GB2312" w:cs="Times New Roman"/>
          <w:color w:val="auto"/>
          <w:sz w:val="32"/>
          <w:szCs w:val="32"/>
          <w:highlight w:val="none"/>
          <w:lang w:val="en-US" w:eastAsia="zh-CN"/>
        </w:rPr>
      </w:pPr>
    </w:p>
    <w:p w14:paraId="1DEC9E87">
      <w:pPr>
        <w:rPr>
          <w:rFonts w:hint="eastAsia" w:ascii="仿宋_GB2312" w:eastAsia="仿宋_GB2312" w:cs="Times New Roman"/>
          <w:color w:val="auto"/>
          <w:sz w:val="32"/>
          <w:szCs w:val="32"/>
          <w:highlight w:val="none"/>
          <w:lang w:val="en-US" w:eastAsia="zh-CN"/>
        </w:rPr>
      </w:pPr>
    </w:p>
    <w:p w14:paraId="6E0E28F4">
      <w:pPr>
        <w:rPr>
          <w:rFonts w:hint="eastAsia" w:ascii="仿宋_GB2312" w:eastAsia="仿宋_GB2312" w:cs="Times New Roman"/>
          <w:color w:val="auto"/>
          <w:sz w:val="32"/>
          <w:szCs w:val="32"/>
          <w:highlight w:val="none"/>
          <w:lang w:val="en-US" w:eastAsia="zh-CN"/>
        </w:rPr>
      </w:pPr>
    </w:p>
    <w:p w14:paraId="64F04540">
      <w:pPr>
        <w:rPr>
          <w:rFonts w:hint="eastAsia" w:ascii="仿宋_GB2312" w:eastAsia="仿宋_GB2312" w:cs="Times New Roman"/>
          <w:color w:val="auto"/>
          <w:sz w:val="32"/>
          <w:szCs w:val="32"/>
          <w:highlight w:val="none"/>
          <w:lang w:val="en-US" w:eastAsia="zh-CN"/>
        </w:rPr>
      </w:pPr>
    </w:p>
    <w:p w14:paraId="512C90B1">
      <w:pPr>
        <w:rPr>
          <w:rFonts w:hint="eastAsia" w:ascii="仿宋_GB2312" w:eastAsia="仿宋_GB2312" w:cs="Times New Roman"/>
          <w:color w:val="auto"/>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s>
  <w:rsids>
    <w:rsidRoot w:val="63A910D1"/>
    <w:rsid w:val="42871DC3"/>
    <w:rsid w:val="46124877"/>
    <w:rsid w:val="63A9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6594</Words>
  <Characters>6939</Characters>
  <Lines>0</Lines>
  <Paragraphs>0</Paragraphs>
  <TotalTime>11</TotalTime>
  <ScaleCrop>false</ScaleCrop>
  <LinksUpToDate>false</LinksUpToDate>
  <CharactersWithSpaces>6951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2024-09-25T11:04:00Z</dcterms:created>
  <dc:creator>Administrator</dc:creator>
  <cp:lastModifiedBy>可爱死算了</cp:lastModifiedBy>
  <dcterms:modified xsi:type="dcterms:W3CDTF">2024-11-08T11:52:01Z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B1498E291D734F26994C885EF672D772_12</vt:lpwstr>
  </property>
</Properties>
</file>